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382CA" w14:textId="77777777" w:rsidR="00FE3D81" w:rsidRPr="00931324" w:rsidRDefault="00931324" w:rsidP="00931324">
      <w:pPr>
        <w:jc w:val="center"/>
        <w:rPr>
          <w:rFonts w:ascii="Arial" w:hAnsi="Arial" w:cs="Arial"/>
          <w:b/>
          <w:u w:val="single"/>
        </w:rPr>
      </w:pPr>
      <w:r w:rsidRPr="00931324">
        <w:rPr>
          <w:rFonts w:ascii="Arial" w:hAnsi="Arial" w:cs="Arial"/>
          <w:b/>
          <w:u w:val="single"/>
        </w:rPr>
        <w:t>Investment Advisor Act – Rule 203(b)(3)-1</w:t>
      </w:r>
    </w:p>
    <w:p w14:paraId="58CD2033" w14:textId="77777777" w:rsidR="00931324" w:rsidRPr="00931324" w:rsidRDefault="00931324" w:rsidP="00931324">
      <w:pPr>
        <w:jc w:val="center"/>
        <w:rPr>
          <w:rFonts w:ascii="Arial" w:hAnsi="Arial" w:cs="Arial"/>
          <w:b/>
          <w:u w:val="single"/>
        </w:rPr>
      </w:pPr>
    </w:p>
    <w:p w14:paraId="505933CC" w14:textId="77777777" w:rsidR="00931324" w:rsidRPr="00931324" w:rsidRDefault="00931324" w:rsidP="00931324">
      <w:pPr>
        <w:widowControl w:val="0"/>
        <w:autoSpaceDE w:val="0"/>
        <w:autoSpaceDN w:val="0"/>
        <w:adjustRightInd w:val="0"/>
        <w:rPr>
          <w:rFonts w:ascii="Arial" w:hAnsi="Arial" w:cs="Arial"/>
        </w:rPr>
      </w:pPr>
    </w:p>
    <w:p w14:paraId="0924FFD7" w14:textId="77777777" w:rsidR="00931324" w:rsidRPr="00931324" w:rsidRDefault="00931324" w:rsidP="00931324">
      <w:pPr>
        <w:pStyle w:val="ListParagraph"/>
        <w:widowControl w:val="0"/>
        <w:numPr>
          <w:ilvl w:val="0"/>
          <w:numId w:val="2"/>
        </w:numPr>
        <w:tabs>
          <w:tab w:val="left" w:pos="220"/>
          <w:tab w:val="left" w:pos="720"/>
        </w:tabs>
        <w:autoSpaceDE w:val="0"/>
        <w:autoSpaceDN w:val="0"/>
        <w:adjustRightInd w:val="0"/>
        <w:rPr>
          <w:rFonts w:ascii="Arial" w:hAnsi="Arial" w:cs="Arial"/>
        </w:rPr>
      </w:pPr>
      <w:r w:rsidRPr="00931324">
        <w:rPr>
          <w:rFonts w:ascii="Arial" w:hAnsi="Arial" w:cs="Arial"/>
          <w:i/>
          <w:iCs/>
        </w:rPr>
        <w:t>General.</w:t>
      </w:r>
      <w:r w:rsidRPr="00931324">
        <w:rPr>
          <w:rFonts w:ascii="Arial" w:hAnsi="Arial" w:cs="Arial"/>
        </w:rPr>
        <w:t xml:space="preserve"> You may deem the following to be a single client for purposes of section </w:t>
      </w:r>
      <w:hyperlink r:id="rId8" w:history="1">
        <w:r w:rsidRPr="00931324">
          <w:rPr>
            <w:rFonts w:ascii="Arial" w:hAnsi="Arial" w:cs="Arial"/>
            <w:color w:val="F50000"/>
          </w:rPr>
          <w:t>203(b)(3)</w:t>
        </w:r>
      </w:hyperlink>
      <w:r w:rsidRPr="00931324">
        <w:rPr>
          <w:rFonts w:ascii="Arial" w:hAnsi="Arial" w:cs="Arial"/>
        </w:rPr>
        <w:t xml:space="preserve"> of the Act</w:t>
      </w:r>
      <w:proofErr w:type="gramStart"/>
      <w:r w:rsidRPr="00931324">
        <w:rPr>
          <w:rFonts w:ascii="Arial" w:hAnsi="Arial" w:cs="Arial"/>
        </w:rPr>
        <w:t>: </w:t>
      </w:r>
      <w:proofErr w:type="gramEnd"/>
    </w:p>
    <w:p w14:paraId="6B778FB4" w14:textId="77777777" w:rsidR="00931324" w:rsidRPr="00931324" w:rsidRDefault="00931324" w:rsidP="00931324">
      <w:pPr>
        <w:pStyle w:val="ListParagraph"/>
        <w:widowControl w:val="0"/>
        <w:numPr>
          <w:ilvl w:val="1"/>
          <w:numId w:val="1"/>
        </w:numPr>
        <w:tabs>
          <w:tab w:val="left" w:pos="940"/>
          <w:tab w:val="left" w:pos="1440"/>
        </w:tabs>
        <w:autoSpaceDE w:val="0"/>
        <w:autoSpaceDN w:val="0"/>
        <w:adjustRightInd w:val="0"/>
        <w:rPr>
          <w:rFonts w:ascii="Arial" w:hAnsi="Arial" w:cs="Arial"/>
        </w:rPr>
      </w:pPr>
      <w:r w:rsidRPr="00931324">
        <w:rPr>
          <w:rFonts w:ascii="Arial" w:hAnsi="Arial" w:cs="Arial"/>
        </w:rPr>
        <w:t>A natural person, an</w:t>
      </w:r>
      <w:bookmarkStart w:id="0" w:name="_GoBack"/>
      <w:bookmarkEnd w:id="0"/>
      <w:r w:rsidRPr="00931324">
        <w:rPr>
          <w:rFonts w:ascii="Arial" w:hAnsi="Arial" w:cs="Arial"/>
        </w:rPr>
        <w:t>d</w:t>
      </w:r>
      <w:proofErr w:type="gramStart"/>
      <w:r w:rsidRPr="00931324">
        <w:rPr>
          <w:rFonts w:ascii="Arial" w:hAnsi="Arial" w:cs="Arial"/>
        </w:rPr>
        <w:t>: </w:t>
      </w:r>
      <w:proofErr w:type="gramEnd"/>
    </w:p>
    <w:p w14:paraId="64D0D9DC" w14:textId="77777777" w:rsidR="00931324" w:rsidRDefault="00931324" w:rsidP="00931324">
      <w:pPr>
        <w:widowControl w:val="0"/>
        <w:numPr>
          <w:ilvl w:val="2"/>
          <w:numId w:val="1"/>
        </w:numPr>
        <w:tabs>
          <w:tab w:val="left" w:pos="940"/>
          <w:tab w:val="left" w:pos="1440"/>
        </w:tabs>
        <w:autoSpaceDE w:val="0"/>
        <w:autoSpaceDN w:val="0"/>
        <w:adjustRightInd w:val="0"/>
        <w:rPr>
          <w:rFonts w:ascii="Arial" w:hAnsi="Arial" w:cs="Arial"/>
        </w:rPr>
      </w:pPr>
      <w:r w:rsidRPr="00931324">
        <w:rPr>
          <w:rFonts w:ascii="Arial" w:hAnsi="Arial" w:cs="Arial"/>
        </w:rPr>
        <w:t>Any minor child of the natural person;  </w:t>
      </w:r>
    </w:p>
    <w:p w14:paraId="3B42B54C" w14:textId="77777777" w:rsidR="00931324" w:rsidRDefault="00931324" w:rsidP="00931324">
      <w:pPr>
        <w:widowControl w:val="0"/>
        <w:numPr>
          <w:ilvl w:val="2"/>
          <w:numId w:val="1"/>
        </w:numPr>
        <w:tabs>
          <w:tab w:val="left" w:pos="940"/>
          <w:tab w:val="left" w:pos="1440"/>
        </w:tabs>
        <w:autoSpaceDE w:val="0"/>
        <w:autoSpaceDN w:val="0"/>
        <w:adjustRightInd w:val="0"/>
        <w:rPr>
          <w:rFonts w:ascii="Arial" w:hAnsi="Arial" w:cs="Arial"/>
        </w:rPr>
      </w:pPr>
      <w:r w:rsidRPr="00931324">
        <w:rPr>
          <w:rFonts w:ascii="Arial" w:hAnsi="Arial" w:cs="Arial"/>
        </w:rPr>
        <w:t>Any relative, spouse, or relative of the spouse of the natural person who has the same principal residence</w:t>
      </w:r>
      <w:proofErr w:type="gramStart"/>
      <w:r w:rsidRPr="00931324">
        <w:rPr>
          <w:rFonts w:ascii="Arial" w:hAnsi="Arial" w:cs="Arial"/>
        </w:rPr>
        <w:t>; </w:t>
      </w:r>
      <w:proofErr w:type="gramEnd"/>
    </w:p>
    <w:p w14:paraId="0931FF6D" w14:textId="77777777" w:rsidR="00931324" w:rsidRDefault="00931324" w:rsidP="00931324">
      <w:pPr>
        <w:widowControl w:val="0"/>
        <w:numPr>
          <w:ilvl w:val="2"/>
          <w:numId w:val="1"/>
        </w:numPr>
        <w:tabs>
          <w:tab w:val="left" w:pos="940"/>
          <w:tab w:val="left" w:pos="1440"/>
        </w:tabs>
        <w:autoSpaceDE w:val="0"/>
        <w:autoSpaceDN w:val="0"/>
        <w:adjustRightInd w:val="0"/>
        <w:rPr>
          <w:rFonts w:ascii="Arial" w:hAnsi="Arial" w:cs="Arial"/>
        </w:rPr>
      </w:pPr>
      <w:r w:rsidRPr="00931324">
        <w:rPr>
          <w:rFonts w:ascii="Arial" w:hAnsi="Arial" w:cs="Arial"/>
        </w:rPr>
        <w:t>All accounts of which the natural person and/or the persons referred to in this paragraph (a)(1) are the only primary beneficiaries; and  </w:t>
      </w:r>
    </w:p>
    <w:p w14:paraId="5E20B1C4" w14:textId="77777777" w:rsidR="00931324" w:rsidRDefault="00931324" w:rsidP="00931324">
      <w:pPr>
        <w:widowControl w:val="0"/>
        <w:numPr>
          <w:ilvl w:val="2"/>
          <w:numId w:val="1"/>
        </w:numPr>
        <w:tabs>
          <w:tab w:val="left" w:pos="940"/>
          <w:tab w:val="left" w:pos="1440"/>
        </w:tabs>
        <w:autoSpaceDE w:val="0"/>
        <w:autoSpaceDN w:val="0"/>
        <w:adjustRightInd w:val="0"/>
        <w:rPr>
          <w:rFonts w:ascii="Arial" w:hAnsi="Arial" w:cs="Arial"/>
        </w:rPr>
      </w:pPr>
      <w:r w:rsidRPr="00931324">
        <w:rPr>
          <w:rFonts w:ascii="Arial" w:hAnsi="Arial" w:cs="Arial"/>
        </w:rPr>
        <w:t>All trusts of which the natural person and/or the persons referred to in this paragraph (a)(1) are the only primary beneficiaries</w:t>
      </w:r>
      <w:proofErr w:type="gramStart"/>
      <w:r w:rsidRPr="00931324">
        <w:rPr>
          <w:rFonts w:ascii="Arial" w:hAnsi="Arial" w:cs="Arial"/>
        </w:rPr>
        <w:t>; </w:t>
      </w:r>
      <w:proofErr w:type="gramEnd"/>
    </w:p>
    <w:p w14:paraId="27509CBF" w14:textId="77777777" w:rsidR="00931324" w:rsidRDefault="00931324" w:rsidP="00931324">
      <w:pPr>
        <w:pStyle w:val="ListParagraph"/>
        <w:widowControl w:val="0"/>
        <w:numPr>
          <w:ilvl w:val="1"/>
          <w:numId w:val="1"/>
        </w:numPr>
        <w:tabs>
          <w:tab w:val="left" w:pos="940"/>
          <w:tab w:val="left" w:pos="1440"/>
        </w:tabs>
        <w:autoSpaceDE w:val="0"/>
        <w:autoSpaceDN w:val="0"/>
        <w:adjustRightInd w:val="0"/>
        <w:rPr>
          <w:rFonts w:ascii="Arial" w:hAnsi="Arial" w:cs="Arial"/>
        </w:rPr>
      </w:pPr>
    </w:p>
    <w:p w14:paraId="5A9A1E7B" w14:textId="77777777" w:rsidR="00931324" w:rsidRPr="00931324" w:rsidRDefault="00931324" w:rsidP="00931324">
      <w:pPr>
        <w:pStyle w:val="ListParagraph"/>
        <w:widowControl w:val="0"/>
        <w:numPr>
          <w:ilvl w:val="2"/>
          <w:numId w:val="1"/>
        </w:numPr>
        <w:tabs>
          <w:tab w:val="left" w:pos="940"/>
          <w:tab w:val="left" w:pos="1440"/>
        </w:tabs>
        <w:autoSpaceDE w:val="0"/>
        <w:autoSpaceDN w:val="0"/>
        <w:adjustRightInd w:val="0"/>
        <w:rPr>
          <w:rFonts w:ascii="Arial" w:hAnsi="Arial" w:cs="Arial"/>
        </w:rPr>
      </w:pPr>
      <w:r w:rsidRPr="00931324">
        <w:rPr>
          <w:rFonts w:ascii="Arial" w:hAnsi="Arial" w:cs="Arial"/>
        </w:rPr>
        <w:t>A corporation, general partnership, limited partnership, limited liability company, trust (other than a trust referred to in paragraph (a)(1)(iv) of this section), or other legal organization (any of which are referred to hereinafter as a "legal organization") to which you provide investment advice based on its investment objectives rather than the individual investment objectives of its shareholders, partners, limited partners, members, or beneficiaries (any of which are referred to hereinafter as an “owner”); and  </w:t>
      </w:r>
    </w:p>
    <w:p w14:paraId="65903F61" w14:textId="77777777" w:rsidR="00931324" w:rsidRPr="00931324" w:rsidRDefault="00931324" w:rsidP="00931324">
      <w:pPr>
        <w:widowControl w:val="0"/>
        <w:numPr>
          <w:ilvl w:val="2"/>
          <w:numId w:val="1"/>
        </w:numPr>
        <w:tabs>
          <w:tab w:val="left" w:pos="940"/>
          <w:tab w:val="left" w:pos="1440"/>
        </w:tabs>
        <w:autoSpaceDE w:val="0"/>
        <w:autoSpaceDN w:val="0"/>
        <w:adjustRightInd w:val="0"/>
        <w:rPr>
          <w:rFonts w:ascii="Arial" w:hAnsi="Arial" w:cs="Arial"/>
        </w:rPr>
      </w:pPr>
      <w:r w:rsidRPr="00931324">
        <w:rPr>
          <w:rFonts w:ascii="Arial" w:hAnsi="Arial" w:cs="Arial"/>
        </w:rPr>
        <w:t>Two or more legal organizations referred to in paragraph (a)(2)(</w:t>
      </w:r>
      <w:proofErr w:type="spellStart"/>
      <w:r w:rsidRPr="00931324">
        <w:rPr>
          <w:rFonts w:ascii="Arial" w:hAnsi="Arial" w:cs="Arial"/>
        </w:rPr>
        <w:t>i</w:t>
      </w:r>
      <w:proofErr w:type="spellEnd"/>
      <w:r w:rsidRPr="00931324">
        <w:rPr>
          <w:rFonts w:ascii="Arial" w:hAnsi="Arial" w:cs="Arial"/>
        </w:rPr>
        <w:t>) of this sect</w:t>
      </w:r>
      <w:r>
        <w:rPr>
          <w:rFonts w:ascii="Arial" w:hAnsi="Arial" w:cs="Arial"/>
        </w:rPr>
        <w:t>ion that have identical owners.</w:t>
      </w:r>
    </w:p>
    <w:p w14:paraId="69DC5F40" w14:textId="77777777" w:rsidR="00931324" w:rsidRPr="00931324" w:rsidRDefault="00931324" w:rsidP="00931324"/>
    <w:sectPr w:rsidR="00931324" w:rsidRPr="00931324" w:rsidSect="00A9180C">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F5615" w14:textId="77777777" w:rsidR="00985259" w:rsidRDefault="00985259" w:rsidP="00985259">
      <w:r>
        <w:separator/>
      </w:r>
    </w:p>
  </w:endnote>
  <w:endnote w:type="continuationSeparator" w:id="0">
    <w:p w14:paraId="45350F36" w14:textId="77777777" w:rsidR="00985259" w:rsidRDefault="00985259" w:rsidP="0098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F137C" w14:textId="77777777" w:rsidR="00985259" w:rsidRDefault="00985259" w:rsidP="00985259">
      <w:r>
        <w:separator/>
      </w:r>
    </w:p>
  </w:footnote>
  <w:footnote w:type="continuationSeparator" w:id="0">
    <w:p w14:paraId="04DF7E20" w14:textId="77777777" w:rsidR="00985259" w:rsidRDefault="00985259" w:rsidP="009852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0CC2E" w14:textId="77777777" w:rsidR="00985259" w:rsidRPr="00985259" w:rsidRDefault="00985259" w:rsidP="00985259">
    <w:pPr>
      <w:pStyle w:val="Header"/>
      <w:jc w:val="right"/>
      <w:rPr>
        <w:rFonts w:ascii="Arial" w:hAnsi="Arial" w:cs="Arial"/>
      </w:rPr>
    </w:pPr>
    <w:r w:rsidRPr="00985259">
      <w:rPr>
        <w:rFonts w:ascii="Arial" w:hAnsi="Arial" w:cs="Arial"/>
      </w:rPr>
      <w:t>May 15, 2012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F8688E6"/>
    <w:lvl w:ilvl="0" w:tplc="00000001">
      <w:start w:val="1"/>
      <w:numFmt w:val="lowerLetter"/>
      <w:lvlText w:val="%1."/>
      <w:lvlJc w:val="left"/>
      <w:pPr>
        <w:ind w:left="720" w:hanging="360"/>
      </w:pPr>
    </w:lvl>
    <w:lvl w:ilvl="1" w:tplc="00000002">
      <w:start w:val="1"/>
      <w:numFmt w:val="decimal"/>
      <w:lvlText w:val="%2."/>
      <w:lvlJc w:val="left"/>
      <w:pPr>
        <w:ind w:left="1440" w:hanging="360"/>
      </w:pPr>
    </w:lvl>
    <w:lvl w:ilvl="2" w:tplc="0000000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651E81"/>
    <w:multiLevelType w:val="hybridMultilevel"/>
    <w:tmpl w:val="E1727392"/>
    <w:lvl w:ilvl="0" w:tplc="00000001">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24"/>
    <w:rsid w:val="00931324"/>
    <w:rsid w:val="00985259"/>
    <w:rsid w:val="00A9180C"/>
    <w:rsid w:val="00FE3D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49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324"/>
    <w:pPr>
      <w:ind w:left="720"/>
      <w:contextualSpacing/>
    </w:pPr>
  </w:style>
  <w:style w:type="paragraph" w:styleId="Header">
    <w:name w:val="header"/>
    <w:basedOn w:val="Normal"/>
    <w:link w:val="HeaderChar"/>
    <w:uiPriority w:val="99"/>
    <w:unhideWhenUsed/>
    <w:rsid w:val="00985259"/>
    <w:pPr>
      <w:tabs>
        <w:tab w:val="center" w:pos="4320"/>
        <w:tab w:val="right" w:pos="8640"/>
      </w:tabs>
    </w:pPr>
  </w:style>
  <w:style w:type="character" w:customStyle="1" w:styleId="HeaderChar">
    <w:name w:val="Header Char"/>
    <w:basedOn w:val="DefaultParagraphFont"/>
    <w:link w:val="Header"/>
    <w:uiPriority w:val="99"/>
    <w:rsid w:val="00985259"/>
  </w:style>
  <w:style w:type="paragraph" w:styleId="Footer">
    <w:name w:val="footer"/>
    <w:basedOn w:val="Normal"/>
    <w:link w:val="FooterChar"/>
    <w:uiPriority w:val="99"/>
    <w:unhideWhenUsed/>
    <w:rsid w:val="00985259"/>
    <w:pPr>
      <w:tabs>
        <w:tab w:val="center" w:pos="4320"/>
        <w:tab w:val="right" w:pos="8640"/>
      </w:tabs>
    </w:pPr>
  </w:style>
  <w:style w:type="character" w:customStyle="1" w:styleId="FooterChar">
    <w:name w:val="Footer Char"/>
    <w:basedOn w:val="DefaultParagraphFont"/>
    <w:link w:val="Footer"/>
    <w:uiPriority w:val="99"/>
    <w:rsid w:val="009852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324"/>
    <w:pPr>
      <w:ind w:left="720"/>
      <w:contextualSpacing/>
    </w:pPr>
  </w:style>
  <w:style w:type="paragraph" w:styleId="Header">
    <w:name w:val="header"/>
    <w:basedOn w:val="Normal"/>
    <w:link w:val="HeaderChar"/>
    <w:uiPriority w:val="99"/>
    <w:unhideWhenUsed/>
    <w:rsid w:val="00985259"/>
    <w:pPr>
      <w:tabs>
        <w:tab w:val="center" w:pos="4320"/>
        <w:tab w:val="right" w:pos="8640"/>
      </w:tabs>
    </w:pPr>
  </w:style>
  <w:style w:type="character" w:customStyle="1" w:styleId="HeaderChar">
    <w:name w:val="Header Char"/>
    <w:basedOn w:val="DefaultParagraphFont"/>
    <w:link w:val="Header"/>
    <w:uiPriority w:val="99"/>
    <w:rsid w:val="00985259"/>
  </w:style>
  <w:style w:type="paragraph" w:styleId="Footer">
    <w:name w:val="footer"/>
    <w:basedOn w:val="Normal"/>
    <w:link w:val="FooterChar"/>
    <w:uiPriority w:val="99"/>
    <w:unhideWhenUsed/>
    <w:rsid w:val="00985259"/>
    <w:pPr>
      <w:tabs>
        <w:tab w:val="center" w:pos="4320"/>
        <w:tab w:val="right" w:pos="8640"/>
      </w:tabs>
    </w:pPr>
  </w:style>
  <w:style w:type="character" w:customStyle="1" w:styleId="FooterChar">
    <w:name w:val="Footer Char"/>
    <w:basedOn w:val="DefaultParagraphFont"/>
    <w:link w:val="Footer"/>
    <w:uiPriority w:val="99"/>
    <w:rsid w:val="00985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aft.law.uc.edu/CCL/InvAdvAct/sec203.html#b.3"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193</Words>
  <Characters>1105</Characters>
  <Application>Microsoft Macintosh Word</Application>
  <DocSecurity>0</DocSecurity>
  <Lines>9</Lines>
  <Paragraphs>2</Paragraphs>
  <ScaleCrop>false</ScaleCrop>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Miles</dc:creator>
  <cp:keywords/>
  <dc:description/>
  <cp:lastModifiedBy>Dan Miles</cp:lastModifiedBy>
  <cp:revision>2</cp:revision>
  <dcterms:created xsi:type="dcterms:W3CDTF">2012-05-16T02:26:00Z</dcterms:created>
  <dcterms:modified xsi:type="dcterms:W3CDTF">2012-05-16T02:36:00Z</dcterms:modified>
</cp:coreProperties>
</file>